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55A45" w14:textId="2D486B54" w:rsidR="007635EA" w:rsidRDefault="00B74CB2">
      <w:pPr>
        <w:rPr>
          <w:rFonts w:ascii="Lato" w:hAnsi="Lato"/>
          <w:b/>
          <w:bCs/>
          <w:noProof/>
          <w:color w:val="00A8A8"/>
          <w:sz w:val="40"/>
          <w:szCs w:val="40"/>
        </w:rPr>
      </w:pPr>
      <w:r>
        <w:rPr>
          <w:rFonts w:ascii="Lato" w:hAnsi="Lato"/>
          <w:b/>
          <w:bCs/>
          <w:noProof/>
          <w:color w:val="00A8A8"/>
          <w:sz w:val="40"/>
          <w:szCs w:val="40"/>
        </w:rPr>
        <w:t xml:space="preserve">Primary </w:t>
      </w:r>
      <w:r w:rsidR="00E027F1">
        <w:rPr>
          <w:rFonts w:ascii="Lato" w:hAnsi="Lato"/>
          <w:b/>
          <w:bCs/>
          <w:noProof/>
          <w:color w:val="00A8A8"/>
          <w:sz w:val="40"/>
          <w:szCs w:val="40"/>
        </w:rPr>
        <w:t>Careers events calendar 2020/21</w:t>
      </w:r>
    </w:p>
    <w:p w14:paraId="411589A3" w14:textId="0FF12568" w:rsidR="00D51624" w:rsidRPr="00D51624" w:rsidRDefault="00D51624">
      <w:pPr>
        <w:rPr>
          <w:rFonts w:ascii="Lato" w:hAnsi="Lato"/>
          <w:b/>
          <w:bCs/>
          <w:noProof/>
          <w:color w:val="00A8A8"/>
          <w:szCs w:val="22"/>
        </w:rPr>
      </w:pPr>
      <w:r>
        <w:rPr>
          <w:rFonts w:ascii="Lato" w:hAnsi="Lato"/>
          <w:b/>
          <w:bCs/>
          <w:noProof/>
          <w:color w:val="00A8A8"/>
          <w:szCs w:val="22"/>
        </w:rPr>
        <w:t xml:space="preserve">Developed </w:t>
      </w:r>
      <w:r w:rsidR="00611BBD">
        <w:rPr>
          <w:rFonts w:ascii="Lato" w:hAnsi="Lato"/>
          <w:b/>
          <w:bCs/>
          <w:noProof/>
          <w:color w:val="00A8A8"/>
          <w:szCs w:val="22"/>
        </w:rPr>
        <w:t>by</w:t>
      </w:r>
      <w:r>
        <w:rPr>
          <w:rFonts w:ascii="Lato" w:hAnsi="Lato"/>
          <w:b/>
          <w:bCs/>
          <w:noProof/>
          <w:color w:val="00A8A8"/>
          <w:szCs w:val="22"/>
        </w:rPr>
        <w:t xml:space="preserve"> Solihull Careers Hub</w:t>
      </w:r>
    </w:p>
    <w:p w14:paraId="24C28F93" w14:textId="3C7D496F" w:rsidR="007635EA" w:rsidRDefault="007635EA">
      <w:pPr>
        <w:rPr>
          <w:rFonts w:ascii="Lato" w:hAnsi="Lato"/>
          <w:b/>
          <w:bCs/>
          <w:noProof/>
          <w:color w:val="00A8A8"/>
          <w:sz w:val="28"/>
          <w:szCs w:val="28"/>
        </w:rPr>
      </w:pPr>
    </w:p>
    <w:p w14:paraId="1955E643" w14:textId="1EA27C8E" w:rsidR="00350F04" w:rsidRPr="00350F04" w:rsidRDefault="00350F04">
      <w:pPr>
        <w:rPr>
          <w:rFonts w:ascii="Lato" w:hAnsi="Lato"/>
          <w:b/>
          <w:bCs/>
          <w:color w:val="00A8A8"/>
          <w:sz w:val="20"/>
          <w:szCs w:val="20"/>
        </w:rPr>
      </w:pPr>
    </w:p>
    <w:tbl>
      <w:tblPr>
        <w:tblStyle w:val="TableGrid"/>
        <w:tblW w:w="14737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194"/>
        <w:gridCol w:w="2222"/>
        <w:gridCol w:w="6493"/>
        <w:gridCol w:w="4828"/>
      </w:tblGrid>
      <w:tr w:rsidR="00FD7F5D" w:rsidRPr="00935E4D" w14:paraId="15D7D54E" w14:textId="77777777" w:rsidTr="00E027F1">
        <w:tc>
          <w:tcPr>
            <w:tcW w:w="14737" w:type="dxa"/>
            <w:gridSpan w:val="4"/>
            <w:shd w:val="clear" w:color="auto" w:fill="00A8A8"/>
          </w:tcPr>
          <w:p w14:paraId="3933DDFC" w14:textId="53EC482F" w:rsidR="00FD7F5D" w:rsidRPr="00FD7F5D" w:rsidRDefault="00E027F1" w:rsidP="00E027F1">
            <w:pPr>
              <w:spacing w:before="120" w:after="120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Hlk43453818"/>
            <w:bookmarkStart w:id="1" w:name="_Hlk43472411"/>
            <w:r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September</w:t>
            </w:r>
          </w:p>
        </w:tc>
      </w:tr>
      <w:tr w:rsidR="002D04B1" w:rsidRPr="00935E4D" w14:paraId="2D24C13D" w14:textId="77777777" w:rsidTr="00E37F3F">
        <w:tc>
          <w:tcPr>
            <w:tcW w:w="1194" w:type="dxa"/>
            <w:shd w:val="clear" w:color="auto" w:fill="E9F6F6"/>
          </w:tcPr>
          <w:p w14:paraId="452BD0C1" w14:textId="3FE26A8C" w:rsidR="002D04B1" w:rsidRPr="00935E4D" w:rsidRDefault="002D04B1" w:rsidP="00E027F1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bookmarkStart w:id="2" w:name="_Hlk34389589"/>
            <w:bookmarkEnd w:id="0"/>
            <w:r>
              <w:rPr>
                <w:rFonts w:ascii="Lato" w:hAnsi="Lato"/>
                <w:color w:val="00A8A8"/>
                <w:sz w:val="20"/>
                <w:szCs w:val="20"/>
              </w:rPr>
              <w:t>14</w:t>
            </w:r>
            <w:r w:rsidRPr="002D04B1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th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– 20</w:t>
            </w:r>
            <w:r w:rsidRPr="002D04B1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th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shd w:val="clear" w:color="auto" w:fill="E9F6F6"/>
          </w:tcPr>
          <w:p w14:paraId="7032C8AD" w14:textId="77777777" w:rsidR="002D04B1" w:rsidRDefault="002D04B1" w:rsidP="00E027F1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National Coding Week</w:t>
            </w:r>
          </w:p>
          <w:p w14:paraId="0ACA5FC3" w14:textId="67497820" w:rsidR="002D04B1" w:rsidRPr="002D04B1" w:rsidRDefault="002D04B1" w:rsidP="00E027F1">
            <w:pPr>
              <w:spacing w:before="120" w:after="120"/>
              <w:rPr>
                <w:rFonts w:ascii="Lato" w:hAnsi="Lato"/>
                <w:i/>
                <w:iCs/>
                <w:color w:val="00A8A8"/>
                <w:sz w:val="20"/>
                <w:szCs w:val="20"/>
              </w:rPr>
            </w:pPr>
            <w:r w:rsidRPr="002D04B1">
              <w:rPr>
                <w:rFonts w:ascii="Lato" w:hAnsi="Lato"/>
                <w:i/>
                <w:iCs/>
                <w:color w:val="00A8A8"/>
                <w:sz w:val="20"/>
                <w:szCs w:val="20"/>
              </w:rPr>
              <w:t>Upskilling staff and parents</w:t>
            </w:r>
          </w:p>
        </w:tc>
        <w:tc>
          <w:tcPr>
            <w:tcW w:w="6493" w:type="dxa"/>
            <w:shd w:val="clear" w:color="auto" w:fill="E9F6F6"/>
          </w:tcPr>
          <w:p w14:paraId="74C503B3" w14:textId="1094E268" w:rsidR="002D04B1" w:rsidRPr="00935E4D" w:rsidRDefault="002D04B1" w:rsidP="002D04B1">
            <w:pPr>
              <w:rPr>
                <w:rFonts w:ascii="Lato" w:hAnsi="Lato"/>
                <w:color w:val="00A8A8"/>
                <w:sz w:val="20"/>
                <w:szCs w:val="20"/>
              </w:rPr>
            </w:pPr>
            <w:r w:rsidRPr="002D04B1">
              <w:rPr>
                <w:rFonts w:ascii="Lato" w:hAnsi="Lato"/>
                <w:color w:val="00A8A8"/>
                <w:sz w:val="20"/>
                <w:szCs w:val="20"/>
              </w:rPr>
              <w:t xml:space="preserve">Opportunity to raise the profile of coding.  Children are learning digital skills in school or through coding clubs such as </w:t>
            </w:r>
            <w:proofErr w:type="spellStart"/>
            <w:r w:rsidR="00E86158" w:rsidRPr="002D04B1">
              <w:rPr>
                <w:rFonts w:ascii="Lato" w:hAnsi="Lato"/>
                <w:color w:val="00A8A8"/>
                <w:sz w:val="20"/>
                <w:szCs w:val="20"/>
              </w:rPr>
              <w:t>CoderDojo</w:t>
            </w:r>
            <w:proofErr w:type="spellEnd"/>
            <w:r w:rsidRPr="002D04B1">
              <w:rPr>
                <w:rFonts w:ascii="Lato" w:hAnsi="Lato"/>
                <w:color w:val="00A8A8"/>
                <w:sz w:val="20"/>
                <w:szCs w:val="20"/>
              </w:rPr>
              <w:t xml:space="preserve">. We therefore would like these clubs to open their doors to parents for a one-off session in which the children will teach the adults some of the skills they have learnt </w:t>
            </w:r>
          </w:p>
        </w:tc>
        <w:tc>
          <w:tcPr>
            <w:tcW w:w="4828" w:type="dxa"/>
            <w:shd w:val="clear" w:color="auto" w:fill="E9F6F6"/>
          </w:tcPr>
          <w:p w14:paraId="4CF9FB26" w14:textId="19F5FCFC" w:rsidR="002D04B1" w:rsidRPr="00935E4D" w:rsidRDefault="002553D7" w:rsidP="00E027F1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2553D7">
              <w:rPr>
                <w:rFonts w:ascii="Lato" w:hAnsi="Lato"/>
                <w:color w:val="00A8A8"/>
                <w:sz w:val="20"/>
                <w:szCs w:val="20"/>
              </w:rPr>
              <w:t>https://codingweek.org/</w:t>
            </w:r>
          </w:p>
        </w:tc>
      </w:tr>
      <w:tr w:rsidR="00E027F1" w:rsidRPr="00FD7F5D" w14:paraId="5CE18378" w14:textId="77777777" w:rsidTr="009B2DED">
        <w:tc>
          <w:tcPr>
            <w:tcW w:w="14737" w:type="dxa"/>
            <w:gridSpan w:val="4"/>
            <w:shd w:val="clear" w:color="auto" w:fill="00A8A8"/>
          </w:tcPr>
          <w:p w14:paraId="7F32D9FC" w14:textId="641C22D2" w:rsidR="00E027F1" w:rsidRPr="00FD7F5D" w:rsidRDefault="00E027F1" w:rsidP="009B2DED">
            <w:pPr>
              <w:spacing w:before="120" w:after="120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bookmarkStart w:id="3" w:name="_Hlk43453852"/>
            <w:bookmarkEnd w:id="1"/>
            <w:bookmarkEnd w:id="2"/>
            <w:r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October</w:t>
            </w:r>
          </w:p>
        </w:tc>
      </w:tr>
      <w:tr w:rsidR="008F4811" w:rsidRPr="00935E4D" w14:paraId="0E663B82" w14:textId="77777777" w:rsidTr="00E37F3F">
        <w:tc>
          <w:tcPr>
            <w:tcW w:w="1194" w:type="dxa"/>
            <w:shd w:val="clear" w:color="auto" w:fill="E9F6F6"/>
          </w:tcPr>
          <w:p w14:paraId="1B6B7DD3" w14:textId="3B41F723" w:rsidR="008F4811" w:rsidRDefault="008F4811" w:rsidP="009B2DED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4</w:t>
            </w:r>
            <w:r w:rsidRPr="008F4811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th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– 10</w:t>
            </w:r>
            <w:r w:rsidRPr="008F4811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th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shd w:val="clear" w:color="auto" w:fill="E9F6F6"/>
          </w:tcPr>
          <w:p w14:paraId="05C6CCF7" w14:textId="7B4D10E8" w:rsidR="008F4811" w:rsidRDefault="008F4811" w:rsidP="00E86158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World Space Week</w:t>
            </w:r>
          </w:p>
        </w:tc>
        <w:tc>
          <w:tcPr>
            <w:tcW w:w="6493" w:type="dxa"/>
            <w:shd w:val="clear" w:color="auto" w:fill="E9F6F6"/>
          </w:tcPr>
          <w:p w14:paraId="36B1D3E2" w14:textId="111BEF7C" w:rsidR="008F4811" w:rsidRPr="00E86158" w:rsidRDefault="008F4811" w:rsidP="009B2DED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8F4811">
              <w:rPr>
                <w:rFonts w:ascii="Lato" w:hAnsi="Lato"/>
                <w:color w:val="00A8A8"/>
                <w:sz w:val="20"/>
                <w:szCs w:val="20"/>
              </w:rPr>
              <w:t>World Space Week is the largest space event on Earth. More than 8,000 events in 96 countries celebrated “The Moon: Gateway to the Stars” last year.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</w:t>
            </w:r>
            <w:r w:rsidRPr="008F4811">
              <w:rPr>
                <w:rFonts w:ascii="Lato" w:hAnsi="Lato"/>
                <w:color w:val="00A8A8"/>
                <w:sz w:val="20"/>
                <w:szCs w:val="20"/>
              </w:rPr>
              <w:t>This year the theme is “Satellites Improve Life.”</w:t>
            </w:r>
          </w:p>
        </w:tc>
        <w:tc>
          <w:tcPr>
            <w:tcW w:w="4828" w:type="dxa"/>
            <w:shd w:val="clear" w:color="auto" w:fill="E9F6F6"/>
          </w:tcPr>
          <w:p w14:paraId="5F1A48C3" w14:textId="7A853182" w:rsidR="008F4811" w:rsidRPr="00132360" w:rsidRDefault="008F4811" w:rsidP="009B2DED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8F4811">
              <w:rPr>
                <w:rFonts w:ascii="Lato" w:hAnsi="Lato"/>
                <w:color w:val="00A8A8"/>
                <w:sz w:val="20"/>
                <w:szCs w:val="20"/>
              </w:rPr>
              <w:t>https://www.worldspaceweek.org/</w:t>
            </w:r>
          </w:p>
        </w:tc>
      </w:tr>
      <w:bookmarkEnd w:id="3"/>
      <w:tr w:rsidR="006551B5" w:rsidRPr="00935E4D" w14:paraId="49B0AF9B" w14:textId="77777777" w:rsidTr="00E37F3F">
        <w:tc>
          <w:tcPr>
            <w:tcW w:w="1194" w:type="dxa"/>
            <w:shd w:val="clear" w:color="auto" w:fill="E9F6F6"/>
          </w:tcPr>
          <w:p w14:paraId="2252CF57" w14:textId="333E1CEB" w:rsidR="006551B5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5</w:t>
            </w:r>
            <w:r w:rsidRPr="006551B5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th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– 10</w:t>
            </w:r>
            <w:r w:rsidRPr="006551B5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th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shd w:val="clear" w:color="auto" w:fill="E9F6F6"/>
          </w:tcPr>
          <w:p w14:paraId="5DE90030" w14:textId="280877A5" w:rsidR="006551B5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Rail Week</w:t>
            </w:r>
          </w:p>
        </w:tc>
        <w:tc>
          <w:tcPr>
            <w:tcW w:w="6493" w:type="dxa"/>
            <w:shd w:val="clear" w:color="auto" w:fill="E9F6F6"/>
          </w:tcPr>
          <w:p w14:paraId="4EB92B7F" w14:textId="6AE1B572" w:rsidR="006551B5" w:rsidRPr="008F4811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603B10">
              <w:rPr>
                <w:rFonts w:ascii="Lato" w:hAnsi="Lato"/>
                <w:color w:val="00A8A8"/>
                <w:sz w:val="20"/>
                <w:szCs w:val="20"/>
              </w:rPr>
              <w:t xml:space="preserve">A dedicated week of activity which aims to address the skills shortage in rail-related roles and inspire a generation of young people through a series of events, visits and talks. </w:t>
            </w:r>
          </w:p>
        </w:tc>
        <w:tc>
          <w:tcPr>
            <w:tcW w:w="4828" w:type="dxa"/>
            <w:shd w:val="clear" w:color="auto" w:fill="E9F6F6"/>
          </w:tcPr>
          <w:p w14:paraId="30C67CDB" w14:textId="6FFAB4BF" w:rsidR="006551B5" w:rsidRPr="008F4811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603B10">
              <w:rPr>
                <w:rFonts w:ascii="Lato" w:hAnsi="Lato"/>
                <w:color w:val="00A8A8"/>
                <w:sz w:val="20"/>
                <w:szCs w:val="20"/>
              </w:rPr>
              <w:t>https://www.railweek.com/</w:t>
            </w:r>
          </w:p>
        </w:tc>
      </w:tr>
      <w:tr w:rsidR="006551B5" w:rsidRPr="00935E4D" w14:paraId="3444C3F5" w14:textId="77777777" w:rsidTr="00E37F3F">
        <w:tc>
          <w:tcPr>
            <w:tcW w:w="1194" w:type="dxa"/>
            <w:shd w:val="clear" w:color="auto" w:fill="E9F6F6"/>
          </w:tcPr>
          <w:p w14:paraId="254CA2AB" w14:textId="07FF5645" w:rsidR="006551B5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7</w:t>
            </w:r>
            <w:r w:rsidRPr="00B310B9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th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shd w:val="clear" w:color="auto" w:fill="E9F6F6"/>
          </w:tcPr>
          <w:p w14:paraId="0809322C" w14:textId="6F065998" w:rsidR="006551B5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National Skills Day</w:t>
            </w:r>
          </w:p>
        </w:tc>
        <w:tc>
          <w:tcPr>
            <w:tcW w:w="6493" w:type="dxa"/>
            <w:shd w:val="clear" w:color="auto" w:fill="E9F6F6"/>
          </w:tcPr>
          <w:p w14:paraId="63D6705D" w14:textId="77777777" w:rsidR="006551B5" w:rsidRPr="00E86158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  <w:tc>
          <w:tcPr>
            <w:tcW w:w="4828" w:type="dxa"/>
            <w:shd w:val="clear" w:color="auto" w:fill="E9F6F6"/>
          </w:tcPr>
          <w:p w14:paraId="34A18A56" w14:textId="77777777" w:rsidR="006551B5" w:rsidRPr="00132360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6551B5" w:rsidRPr="00935E4D" w14:paraId="42DAE8AE" w14:textId="77777777" w:rsidTr="00E37F3F">
        <w:tc>
          <w:tcPr>
            <w:tcW w:w="1194" w:type="dxa"/>
            <w:shd w:val="clear" w:color="auto" w:fill="E9F6F6"/>
          </w:tcPr>
          <w:p w14:paraId="6F1A1B46" w14:textId="64819BDC" w:rsidR="006551B5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12</w:t>
            </w:r>
            <w:r w:rsidRPr="00603B10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th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– 16</w:t>
            </w:r>
            <w:r w:rsidRPr="00603B10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th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shd w:val="clear" w:color="auto" w:fill="E9F6F6"/>
          </w:tcPr>
          <w:p w14:paraId="57953A20" w14:textId="7B0BC93F" w:rsidR="006551B5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Digital Leaders week</w:t>
            </w:r>
          </w:p>
        </w:tc>
        <w:tc>
          <w:tcPr>
            <w:tcW w:w="6493" w:type="dxa"/>
            <w:shd w:val="clear" w:color="auto" w:fill="E9F6F6"/>
          </w:tcPr>
          <w:p w14:paraId="12E3B478" w14:textId="6738D512" w:rsidR="006551B5" w:rsidRPr="00E86158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603B10">
              <w:rPr>
                <w:rFonts w:ascii="Lato" w:hAnsi="Lato"/>
                <w:color w:val="00A8A8"/>
                <w:sz w:val="20"/>
                <w:szCs w:val="20"/>
              </w:rPr>
              <w:t xml:space="preserve">A chance for schools to invite in employers from the digital sector to raise awareness of the careers within this area.  </w:t>
            </w:r>
          </w:p>
        </w:tc>
        <w:tc>
          <w:tcPr>
            <w:tcW w:w="4828" w:type="dxa"/>
            <w:shd w:val="clear" w:color="auto" w:fill="E9F6F6"/>
          </w:tcPr>
          <w:p w14:paraId="5743105C" w14:textId="77777777" w:rsidR="006551B5" w:rsidRPr="00603B10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603B10">
              <w:rPr>
                <w:rFonts w:ascii="Lato" w:hAnsi="Lato"/>
                <w:color w:val="00A8A8"/>
                <w:sz w:val="20"/>
                <w:szCs w:val="20"/>
              </w:rPr>
              <w:t xml:space="preserve">https://digileaders.com/week/ </w:t>
            </w:r>
          </w:p>
          <w:p w14:paraId="448F2713" w14:textId="77777777" w:rsidR="006551B5" w:rsidRPr="00132360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6551B5" w:rsidRPr="00935E4D" w14:paraId="697ACA58" w14:textId="77777777" w:rsidTr="00E37F3F">
        <w:tc>
          <w:tcPr>
            <w:tcW w:w="1194" w:type="dxa"/>
            <w:shd w:val="clear" w:color="auto" w:fill="E9F6F6"/>
          </w:tcPr>
          <w:p w14:paraId="18F8ACAB" w14:textId="0F1BB6FC" w:rsidR="006551B5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27</w:t>
            </w:r>
            <w:r w:rsidRPr="00603B10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th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shd w:val="clear" w:color="auto" w:fill="E9F6F6"/>
          </w:tcPr>
          <w:p w14:paraId="1704DEA9" w14:textId="152703DD" w:rsidR="006551B5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National Mentoring Day</w:t>
            </w:r>
          </w:p>
        </w:tc>
        <w:tc>
          <w:tcPr>
            <w:tcW w:w="6493" w:type="dxa"/>
            <w:shd w:val="clear" w:color="auto" w:fill="E9F6F6"/>
          </w:tcPr>
          <w:p w14:paraId="30DEB843" w14:textId="3873ED64" w:rsidR="006551B5" w:rsidRPr="00E86158" w:rsidRDefault="006551B5" w:rsidP="006551B5">
            <w:pPr>
              <w:rPr>
                <w:rFonts w:ascii="Lato" w:hAnsi="Lato"/>
                <w:color w:val="00A8A8"/>
                <w:sz w:val="20"/>
                <w:szCs w:val="20"/>
              </w:rPr>
            </w:pPr>
            <w:r w:rsidRPr="00603B10">
              <w:rPr>
                <w:rFonts w:ascii="Lato" w:hAnsi="Lato"/>
                <w:color w:val="00A8A8"/>
                <w:sz w:val="20"/>
                <w:szCs w:val="20"/>
              </w:rPr>
              <w:t xml:space="preserve">Opportunity to raise the profile of mentoring for young people and to encourage more people to sign up to be mentors. </w:t>
            </w:r>
          </w:p>
        </w:tc>
        <w:tc>
          <w:tcPr>
            <w:tcW w:w="4828" w:type="dxa"/>
            <w:shd w:val="clear" w:color="auto" w:fill="E9F6F6"/>
          </w:tcPr>
          <w:p w14:paraId="6B4FA506" w14:textId="75B83FC9" w:rsidR="006551B5" w:rsidRPr="00132360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603B10">
              <w:rPr>
                <w:rFonts w:ascii="Lato" w:hAnsi="Lato"/>
                <w:color w:val="00A8A8"/>
                <w:sz w:val="20"/>
                <w:szCs w:val="20"/>
              </w:rPr>
              <w:t xml:space="preserve">www.nationalmentoringday.org  </w:t>
            </w:r>
          </w:p>
        </w:tc>
      </w:tr>
    </w:tbl>
    <w:p w14:paraId="7C2757AB" w14:textId="77777777" w:rsidR="00B74CB2" w:rsidRDefault="00B74CB2" w:rsidP="006551B5">
      <w:pPr>
        <w:spacing w:before="120" w:after="120"/>
        <w:rPr>
          <w:rFonts w:ascii="Lato" w:hAnsi="Lato"/>
          <w:b/>
          <w:bCs/>
          <w:color w:val="FFFFFF" w:themeColor="background1"/>
          <w:sz w:val="28"/>
          <w:szCs w:val="28"/>
        </w:rPr>
        <w:sectPr w:rsidR="00B74CB2" w:rsidSect="00E027F1">
          <w:headerReference w:type="default" r:id="rId7"/>
          <w:pgSz w:w="16840" w:h="1190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737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194"/>
        <w:gridCol w:w="2222"/>
        <w:gridCol w:w="6493"/>
        <w:gridCol w:w="4828"/>
      </w:tblGrid>
      <w:tr w:rsidR="006551B5" w:rsidRPr="00FD7F5D" w14:paraId="0E390BA4" w14:textId="77777777" w:rsidTr="009B2DED">
        <w:tc>
          <w:tcPr>
            <w:tcW w:w="14737" w:type="dxa"/>
            <w:gridSpan w:val="4"/>
            <w:shd w:val="clear" w:color="auto" w:fill="00A8A8"/>
          </w:tcPr>
          <w:p w14:paraId="79AA1D75" w14:textId="2DF3C708" w:rsidR="006551B5" w:rsidRPr="00FD7F5D" w:rsidRDefault="006551B5" w:rsidP="006551B5">
            <w:pPr>
              <w:spacing w:before="120" w:after="120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bookmarkStart w:id="4" w:name="_GoBack"/>
            <w:bookmarkEnd w:id="4"/>
            <w:r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lastRenderedPageBreak/>
              <w:t>November</w:t>
            </w:r>
          </w:p>
        </w:tc>
      </w:tr>
      <w:tr w:rsidR="006551B5" w:rsidRPr="00935E4D" w14:paraId="6A53F61D" w14:textId="77777777" w:rsidTr="00E37F3F">
        <w:tc>
          <w:tcPr>
            <w:tcW w:w="1194" w:type="dxa"/>
            <w:shd w:val="clear" w:color="auto" w:fill="E9F6F6"/>
          </w:tcPr>
          <w:p w14:paraId="3D80490D" w14:textId="20121154" w:rsidR="006551B5" w:rsidRPr="00935E4D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2</w:t>
            </w:r>
            <w:r w:rsidRPr="005C7173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nd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– 6</w:t>
            </w:r>
            <w:r w:rsidRPr="005C7173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th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shd w:val="clear" w:color="auto" w:fill="E9F6F6"/>
          </w:tcPr>
          <w:p w14:paraId="7D7F5395" w14:textId="6CEF3CDD" w:rsidR="006551B5" w:rsidRPr="00935E4D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Tomorrow’s Engineers Week</w:t>
            </w:r>
          </w:p>
        </w:tc>
        <w:tc>
          <w:tcPr>
            <w:tcW w:w="6493" w:type="dxa"/>
            <w:shd w:val="clear" w:color="auto" w:fill="E9F6F6"/>
          </w:tcPr>
          <w:p w14:paraId="29E01210" w14:textId="53CAC470" w:rsidR="006551B5" w:rsidRPr="00935E4D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5C7173">
              <w:rPr>
                <w:rFonts w:ascii="Lato" w:hAnsi="Lato"/>
                <w:color w:val="00A8A8"/>
                <w:sz w:val="20"/>
                <w:szCs w:val="20"/>
              </w:rPr>
              <w:t>Themed week of events and resources on engineering.  Downloadable toolkits and resources available</w:t>
            </w:r>
            <w:r>
              <w:rPr>
                <w:rFonts w:ascii="Lato" w:hAnsi="Lato"/>
                <w:color w:val="00A8A8"/>
                <w:sz w:val="20"/>
                <w:szCs w:val="20"/>
              </w:rPr>
              <w:t>.</w:t>
            </w:r>
          </w:p>
        </w:tc>
        <w:tc>
          <w:tcPr>
            <w:tcW w:w="4828" w:type="dxa"/>
            <w:shd w:val="clear" w:color="auto" w:fill="E9F6F6"/>
          </w:tcPr>
          <w:p w14:paraId="1421A8C3" w14:textId="765734F6" w:rsidR="006551B5" w:rsidRPr="00935E4D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5C7173">
              <w:rPr>
                <w:rFonts w:ascii="Lato" w:hAnsi="Lato"/>
                <w:color w:val="00A8A8"/>
                <w:sz w:val="20"/>
                <w:szCs w:val="20"/>
              </w:rPr>
              <w:t>https://tomorrowsengineers.org.uk/tomorrows-engineers-week-2019/</w:t>
            </w:r>
          </w:p>
        </w:tc>
      </w:tr>
      <w:tr w:rsidR="006551B5" w:rsidRPr="00935E4D" w14:paraId="586935C2" w14:textId="77777777" w:rsidTr="00E37F3F">
        <w:tc>
          <w:tcPr>
            <w:tcW w:w="1194" w:type="dxa"/>
            <w:shd w:val="clear" w:color="auto" w:fill="E9F6F6"/>
          </w:tcPr>
          <w:p w14:paraId="3485E385" w14:textId="1051725E" w:rsidR="006551B5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16</w:t>
            </w:r>
            <w:r w:rsidRPr="001D6CF4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th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– 22</w:t>
            </w:r>
            <w:r w:rsidRPr="001D6CF4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nd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shd w:val="clear" w:color="auto" w:fill="E9F6F6"/>
          </w:tcPr>
          <w:p w14:paraId="0F763E8F" w14:textId="7B538AF7" w:rsidR="006551B5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Global Entrepreneurship Week</w:t>
            </w:r>
          </w:p>
        </w:tc>
        <w:tc>
          <w:tcPr>
            <w:tcW w:w="6493" w:type="dxa"/>
            <w:shd w:val="clear" w:color="auto" w:fill="E9F6F6"/>
          </w:tcPr>
          <w:p w14:paraId="464AB43D" w14:textId="5FD58602" w:rsidR="006551B5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1D6CF4">
              <w:rPr>
                <w:rFonts w:ascii="Lato" w:hAnsi="Lato"/>
                <w:color w:val="00A8A8"/>
                <w:sz w:val="20"/>
                <w:szCs w:val="20"/>
              </w:rPr>
              <w:t>Thousands of events and competitions in 170 countries inspire millions to engage in entrepreneurial activity.</w:t>
            </w:r>
          </w:p>
        </w:tc>
        <w:tc>
          <w:tcPr>
            <w:tcW w:w="4828" w:type="dxa"/>
            <w:shd w:val="clear" w:color="auto" w:fill="E9F6F6"/>
          </w:tcPr>
          <w:p w14:paraId="3AF15C28" w14:textId="05C9438F" w:rsidR="006551B5" w:rsidRPr="00A815CA" w:rsidRDefault="006551B5" w:rsidP="006551B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1D6CF4">
              <w:rPr>
                <w:rFonts w:ascii="Lato" w:hAnsi="Lato"/>
                <w:color w:val="00A8A8"/>
                <w:sz w:val="20"/>
                <w:szCs w:val="20"/>
              </w:rPr>
              <w:t>https://www.genglobal.org/gew</w:t>
            </w:r>
          </w:p>
        </w:tc>
      </w:tr>
      <w:tr w:rsidR="00F040F6" w:rsidRPr="00935E4D" w14:paraId="4A4C43D1" w14:textId="77777777" w:rsidTr="00E37F3F">
        <w:tc>
          <w:tcPr>
            <w:tcW w:w="1194" w:type="dxa"/>
            <w:shd w:val="clear" w:color="auto" w:fill="E9F6F6"/>
          </w:tcPr>
          <w:p w14:paraId="321595FF" w14:textId="14717C16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16</w:t>
            </w:r>
            <w:r w:rsidRPr="00F040F6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th</w:t>
            </w:r>
            <w:r>
              <w:rPr>
                <w:rFonts w:ascii="Lato" w:hAnsi="Lato"/>
                <w:color w:val="00A8A8"/>
                <w:sz w:val="20"/>
                <w:szCs w:val="20"/>
              </w:rPr>
              <w:t>-20</w:t>
            </w:r>
            <w:r w:rsidRPr="00F040F6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th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shd w:val="clear" w:color="auto" w:fill="E9F6F6"/>
          </w:tcPr>
          <w:p w14:paraId="01281ADA" w14:textId="4154560F" w:rsidR="00F040F6" w:rsidRPr="005C7173" w:rsidRDefault="00F040F6" w:rsidP="00F040F6">
            <w:pPr>
              <w:spacing w:before="120" w:after="120"/>
              <w:rPr>
                <w:rFonts w:ascii="Lato" w:hAnsi="Lato"/>
                <w:i/>
                <w:iCs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#</w:t>
            </w:r>
            <w:proofErr w:type="spellStart"/>
            <w:r>
              <w:rPr>
                <w:rFonts w:ascii="Lato" w:hAnsi="Lato"/>
                <w:color w:val="00A8A8"/>
                <w:sz w:val="20"/>
                <w:szCs w:val="20"/>
              </w:rPr>
              <w:t>iwill</w:t>
            </w:r>
            <w:proofErr w:type="spellEnd"/>
            <w:r>
              <w:rPr>
                <w:rFonts w:ascii="Lato" w:hAnsi="Lato"/>
                <w:color w:val="00A8A8"/>
                <w:sz w:val="20"/>
                <w:szCs w:val="20"/>
              </w:rPr>
              <w:t xml:space="preserve"> campaign</w:t>
            </w:r>
          </w:p>
        </w:tc>
        <w:tc>
          <w:tcPr>
            <w:tcW w:w="6493" w:type="dxa"/>
            <w:shd w:val="clear" w:color="auto" w:fill="E9F6F6"/>
          </w:tcPr>
          <w:p w14:paraId="1FDF8CB0" w14:textId="5B7664B3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603B10">
              <w:rPr>
                <w:rFonts w:ascii="Lato" w:hAnsi="Lato"/>
                <w:color w:val="00A8A8"/>
                <w:sz w:val="20"/>
                <w:szCs w:val="20"/>
              </w:rPr>
              <w:t>The #</w:t>
            </w:r>
            <w:proofErr w:type="spellStart"/>
            <w:r w:rsidRPr="00603B10">
              <w:rPr>
                <w:rFonts w:ascii="Lato" w:hAnsi="Lato"/>
                <w:color w:val="00A8A8"/>
                <w:sz w:val="20"/>
                <w:szCs w:val="20"/>
              </w:rPr>
              <w:t>iwill</w:t>
            </w:r>
            <w:proofErr w:type="spellEnd"/>
            <w:r w:rsidRPr="00603B10">
              <w:rPr>
                <w:rFonts w:ascii="Lato" w:hAnsi="Lato"/>
                <w:color w:val="00A8A8"/>
                <w:sz w:val="20"/>
                <w:szCs w:val="20"/>
              </w:rPr>
              <w:t xml:space="preserve"> campaign wants to make participation in social action the norm for young people under 20.</w:t>
            </w:r>
          </w:p>
        </w:tc>
        <w:tc>
          <w:tcPr>
            <w:tcW w:w="4828" w:type="dxa"/>
            <w:shd w:val="clear" w:color="auto" w:fill="E9F6F6"/>
          </w:tcPr>
          <w:p w14:paraId="68020C67" w14:textId="77777777" w:rsidR="00F040F6" w:rsidRPr="00603B10" w:rsidRDefault="00F040F6" w:rsidP="00F040F6">
            <w:pPr>
              <w:rPr>
                <w:rFonts w:ascii="Lato" w:hAnsi="Lato"/>
                <w:color w:val="00A8A8"/>
                <w:sz w:val="20"/>
                <w:szCs w:val="20"/>
              </w:rPr>
            </w:pPr>
            <w:r w:rsidRPr="00603B10">
              <w:rPr>
                <w:rFonts w:ascii="Lato" w:hAnsi="Lato"/>
                <w:color w:val="00A8A8"/>
                <w:sz w:val="20"/>
                <w:szCs w:val="20"/>
              </w:rPr>
              <w:t xml:space="preserve">https://www.iwill.org.uk/ </w:t>
            </w:r>
          </w:p>
          <w:p w14:paraId="5E24F15C" w14:textId="078E2D83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F040F6" w:rsidRPr="00935E4D" w14:paraId="79FC625A" w14:textId="77777777" w:rsidTr="00E37F3F">
        <w:tc>
          <w:tcPr>
            <w:tcW w:w="1194" w:type="dxa"/>
            <w:shd w:val="clear" w:color="auto" w:fill="E9F6F6"/>
          </w:tcPr>
          <w:p w14:paraId="65D1CB91" w14:textId="5C423E4D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All of Nov</w:t>
            </w:r>
          </w:p>
        </w:tc>
        <w:tc>
          <w:tcPr>
            <w:tcW w:w="2222" w:type="dxa"/>
            <w:shd w:val="clear" w:color="auto" w:fill="E9F6F6"/>
          </w:tcPr>
          <w:p w14:paraId="3C7B759C" w14:textId="7EA8205D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BIMA Digital Day</w:t>
            </w:r>
          </w:p>
        </w:tc>
        <w:tc>
          <w:tcPr>
            <w:tcW w:w="6493" w:type="dxa"/>
            <w:shd w:val="clear" w:color="auto" w:fill="E9F6F6"/>
          </w:tcPr>
          <w:p w14:paraId="7A76A2BA" w14:textId="77777777" w:rsidR="00F040F6" w:rsidRPr="00603B10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603B10">
              <w:rPr>
                <w:rFonts w:ascii="Lato" w:hAnsi="Lato"/>
                <w:color w:val="00A8A8"/>
                <w:sz w:val="20"/>
                <w:szCs w:val="20"/>
              </w:rPr>
              <w:t>Linking industry professionals with schools and Colleges to raise awareness of the opportunities for young people in the digital sector</w:t>
            </w:r>
          </w:p>
          <w:p w14:paraId="41F3C7C4" w14:textId="0687733F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  <w:tc>
          <w:tcPr>
            <w:tcW w:w="4828" w:type="dxa"/>
            <w:shd w:val="clear" w:color="auto" w:fill="E9F6F6"/>
          </w:tcPr>
          <w:p w14:paraId="40438970" w14:textId="00D0AA5C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https://www.bimadday.org.uk</w:t>
            </w:r>
          </w:p>
        </w:tc>
      </w:tr>
      <w:tr w:rsidR="00F040F6" w:rsidRPr="00FD7F5D" w14:paraId="5E1B986E" w14:textId="77777777" w:rsidTr="009B2DED">
        <w:tc>
          <w:tcPr>
            <w:tcW w:w="14737" w:type="dxa"/>
            <w:gridSpan w:val="4"/>
            <w:shd w:val="clear" w:color="auto" w:fill="00A8A8"/>
          </w:tcPr>
          <w:p w14:paraId="2F43FBB2" w14:textId="7C76934B" w:rsidR="00F040F6" w:rsidRPr="00FD7F5D" w:rsidRDefault="00F040F6" w:rsidP="00F040F6">
            <w:pPr>
              <w:spacing w:before="120" w:after="120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December</w:t>
            </w:r>
          </w:p>
        </w:tc>
      </w:tr>
      <w:tr w:rsidR="00F040F6" w:rsidRPr="00935E4D" w14:paraId="6C9535C8" w14:textId="77777777" w:rsidTr="00E37F3F">
        <w:tc>
          <w:tcPr>
            <w:tcW w:w="1194" w:type="dxa"/>
            <w:shd w:val="clear" w:color="auto" w:fill="E9F6F6"/>
          </w:tcPr>
          <w:p w14:paraId="63B399B6" w14:textId="4C8259D0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5</w:t>
            </w:r>
            <w:r w:rsidRPr="00E8071F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th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shd w:val="clear" w:color="auto" w:fill="E9F6F6"/>
          </w:tcPr>
          <w:p w14:paraId="7C1CCE94" w14:textId="50B3A66E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International Volunteers Day</w:t>
            </w:r>
          </w:p>
        </w:tc>
        <w:tc>
          <w:tcPr>
            <w:tcW w:w="6493" w:type="dxa"/>
            <w:shd w:val="clear" w:color="auto" w:fill="E9F6F6"/>
          </w:tcPr>
          <w:p w14:paraId="17D3F8D9" w14:textId="1E4D5E63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E8071F">
              <w:rPr>
                <w:rFonts w:ascii="Lato" w:hAnsi="Lato"/>
                <w:color w:val="00A8A8"/>
                <w:sz w:val="20"/>
                <w:szCs w:val="20"/>
              </w:rPr>
              <w:t>Opportunity to raise the profile of volunteering, volunteering can also be a good way for people to get into employment through learning the skills needed for the world of work.</w:t>
            </w:r>
          </w:p>
        </w:tc>
        <w:tc>
          <w:tcPr>
            <w:tcW w:w="4828" w:type="dxa"/>
            <w:shd w:val="clear" w:color="auto" w:fill="E9F6F6"/>
          </w:tcPr>
          <w:p w14:paraId="39FE51CF" w14:textId="79CE5F9E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E8071F">
              <w:rPr>
                <w:rFonts w:ascii="Lato" w:hAnsi="Lato"/>
                <w:color w:val="00A8A8"/>
                <w:sz w:val="20"/>
                <w:szCs w:val="20"/>
              </w:rPr>
              <w:t>https://www.un.org/en/observances/volunteer-day</w:t>
            </w:r>
          </w:p>
        </w:tc>
      </w:tr>
      <w:tr w:rsidR="00F040F6" w:rsidRPr="00FD7F5D" w14:paraId="5AFFE5DE" w14:textId="77777777" w:rsidTr="009B2DED">
        <w:tc>
          <w:tcPr>
            <w:tcW w:w="14737" w:type="dxa"/>
            <w:gridSpan w:val="4"/>
            <w:shd w:val="clear" w:color="auto" w:fill="00A8A8"/>
          </w:tcPr>
          <w:p w14:paraId="3B698AD5" w14:textId="752245D5" w:rsidR="00F040F6" w:rsidRPr="00FD7F5D" w:rsidRDefault="00F040F6" w:rsidP="00F040F6">
            <w:pPr>
              <w:spacing w:before="120" w:after="120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January</w:t>
            </w:r>
          </w:p>
        </w:tc>
      </w:tr>
      <w:tr w:rsidR="00F040F6" w:rsidRPr="00935E4D" w14:paraId="1350A570" w14:textId="77777777" w:rsidTr="00E37F3F">
        <w:tc>
          <w:tcPr>
            <w:tcW w:w="1194" w:type="dxa"/>
            <w:shd w:val="clear" w:color="auto" w:fill="E9F6F6"/>
          </w:tcPr>
          <w:p w14:paraId="26226358" w14:textId="77777777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E9F6F6"/>
          </w:tcPr>
          <w:p w14:paraId="1049FDD0" w14:textId="77777777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  <w:tc>
          <w:tcPr>
            <w:tcW w:w="6493" w:type="dxa"/>
            <w:shd w:val="clear" w:color="auto" w:fill="E9F6F6"/>
          </w:tcPr>
          <w:p w14:paraId="2CF876C7" w14:textId="77777777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  <w:tc>
          <w:tcPr>
            <w:tcW w:w="4828" w:type="dxa"/>
            <w:shd w:val="clear" w:color="auto" w:fill="E9F6F6"/>
          </w:tcPr>
          <w:p w14:paraId="52F16F88" w14:textId="77777777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F040F6" w:rsidRPr="00FD7F5D" w14:paraId="18B2CC47" w14:textId="77777777" w:rsidTr="009B2DED">
        <w:tc>
          <w:tcPr>
            <w:tcW w:w="14737" w:type="dxa"/>
            <w:gridSpan w:val="4"/>
            <w:shd w:val="clear" w:color="auto" w:fill="00A8A8"/>
          </w:tcPr>
          <w:p w14:paraId="12927C2F" w14:textId="743ADE46" w:rsidR="00F040F6" w:rsidRPr="00FD7F5D" w:rsidRDefault="00F040F6" w:rsidP="00F040F6">
            <w:pPr>
              <w:spacing w:before="120" w:after="120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February</w:t>
            </w:r>
          </w:p>
        </w:tc>
      </w:tr>
      <w:tr w:rsidR="00F040F6" w:rsidRPr="00935E4D" w14:paraId="344F8FA3" w14:textId="77777777" w:rsidTr="00E37F3F">
        <w:tc>
          <w:tcPr>
            <w:tcW w:w="1194" w:type="dxa"/>
            <w:shd w:val="clear" w:color="auto" w:fill="E9F6F6"/>
          </w:tcPr>
          <w:p w14:paraId="54268574" w14:textId="5E2A3327" w:rsidR="00F040F6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8-14</w:t>
            </w:r>
            <w:r w:rsidRPr="00F040F6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th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shd w:val="clear" w:color="auto" w:fill="E9F6F6"/>
          </w:tcPr>
          <w:p w14:paraId="64DA8B2E" w14:textId="13F93D48" w:rsidR="00F040F6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National Apprenticeship Week</w:t>
            </w:r>
          </w:p>
        </w:tc>
        <w:tc>
          <w:tcPr>
            <w:tcW w:w="6493" w:type="dxa"/>
            <w:shd w:val="clear" w:color="auto" w:fill="E9F6F6"/>
          </w:tcPr>
          <w:p w14:paraId="2F1A4DF6" w14:textId="5BB0AC07" w:rsidR="00F040F6" w:rsidRPr="00603B10" w:rsidRDefault="00F040F6" w:rsidP="00F040F6">
            <w:pPr>
              <w:rPr>
                <w:rFonts w:ascii="Lato" w:hAnsi="Lato"/>
                <w:color w:val="00A8A8"/>
                <w:sz w:val="20"/>
                <w:szCs w:val="20"/>
              </w:rPr>
            </w:pPr>
            <w:r w:rsidRPr="00E37F3F">
              <w:rPr>
                <w:rFonts w:ascii="Lato" w:hAnsi="Lato"/>
                <w:color w:val="00A8A8"/>
                <w:sz w:val="20"/>
                <w:szCs w:val="20"/>
              </w:rPr>
              <w:t>An annual week-long celebration of apprenticeships across England and is a time to recognise and applaud apprenticeship success stories across the country.</w:t>
            </w:r>
          </w:p>
        </w:tc>
        <w:tc>
          <w:tcPr>
            <w:tcW w:w="4828" w:type="dxa"/>
            <w:shd w:val="clear" w:color="auto" w:fill="E9F6F6"/>
          </w:tcPr>
          <w:p w14:paraId="1F2D9F93" w14:textId="3F38C432" w:rsidR="00F040F6" w:rsidRPr="00603B10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F040F6">
              <w:rPr>
                <w:rFonts w:ascii="Lato" w:hAnsi="Lato"/>
                <w:color w:val="00A8A8"/>
                <w:sz w:val="20"/>
                <w:szCs w:val="20"/>
              </w:rPr>
              <w:t>https://www.gov.uk/government/news/national-apprenticeship-week-2021-date-announced</w:t>
            </w:r>
          </w:p>
        </w:tc>
      </w:tr>
      <w:tr w:rsidR="00F040F6" w:rsidRPr="00935E4D" w14:paraId="060A9E83" w14:textId="77777777" w:rsidTr="00E37F3F">
        <w:tc>
          <w:tcPr>
            <w:tcW w:w="1194" w:type="dxa"/>
            <w:shd w:val="clear" w:color="auto" w:fill="E9F6F6"/>
          </w:tcPr>
          <w:p w14:paraId="25FCB5EC" w14:textId="7E54F2C4" w:rsidR="00F040F6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lastRenderedPageBreak/>
              <w:t>11</w:t>
            </w:r>
            <w:r w:rsidRPr="00603B10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th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shd w:val="clear" w:color="auto" w:fill="E9F6F6"/>
          </w:tcPr>
          <w:p w14:paraId="6ADBECCF" w14:textId="6F318F80" w:rsidR="00F040F6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International Day of Women and Girls in Science</w:t>
            </w:r>
          </w:p>
        </w:tc>
        <w:tc>
          <w:tcPr>
            <w:tcW w:w="6493" w:type="dxa"/>
            <w:shd w:val="clear" w:color="auto" w:fill="E9F6F6"/>
          </w:tcPr>
          <w:p w14:paraId="1218A562" w14:textId="2666E4BD" w:rsidR="00F040F6" w:rsidRPr="00E37F3F" w:rsidRDefault="00F040F6" w:rsidP="00F040F6">
            <w:pPr>
              <w:rPr>
                <w:rFonts w:ascii="Lato" w:hAnsi="Lato"/>
                <w:color w:val="00A8A8"/>
                <w:sz w:val="20"/>
                <w:szCs w:val="20"/>
              </w:rPr>
            </w:pPr>
            <w:r w:rsidRPr="00603B10">
              <w:rPr>
                <w:rFonts w:ascii="Lato" w:hAnsi="Lato"/>
                <w:color w:val="00A8A8"/>
                <w:sz w:val="20"/>
                <w:szCs w:val="20"/>
              </w:rPr>
              <w:t xml:space="preserve">International awareness to recognise the critical role women and girls play in science and technology.  Each year there is a different theme.  </w:t>
            </w:r>
          </w:p>
        </w:tc>
        <w:tc>
          <w:tcPr>
            <w:tcW w:w="4828" w:type="dxa"/>
            <w:shd w:val="clear" w:color="auto" w:fill="E9F6F6"/>
          </w:tcPr>
          <w:p w14:paraId="568D4E88" w14:textId="69B38BDE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603B10">
              <w:rPr>
                <w:rFonts w:ascii="Lato" w:hAnsi="Lato"/>
                <w:color w:val="00A8A8"/>
                <w:sz w:val="20"/>
                <w:szCs w:val="20"/>
              </w:rPr>
              <w:t>https://www.un.org/en/observances/women-and-girls-in-science-day</w:t>
            </w:r>
          </w:p>
        </w:tc>
      </w:tr>
      <w:tr w:rsidR="00F040F6" w:rsidRPr="00935E4D" w14:paraId="2AB23588" w14:textId="77777777" w:rsidTr="00E37F3F">
        <w:tc>
          <w:tcPr>
            <w:tcW w:w="1194" w:type="dxa"/>
            <w:shd w:val="clear" w:color="auto" w:fill="E9F6F6"/>
          </w:tcPr>
          <w:p w14:paraId="6575D3A3" w14:textId="32907C7F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TBC</w:t>
            </w:r>
          </w:p>
        </w:tc>
        <w:tc>
          <w:tcPr>
            <w:tcW w:w="2222" w:type="dxa"/>
            <w:shd w:val="clear" w:color="auto" w:fill="E9F6F6"/>
          </w:tcPr>
          <w:p w14:paraId="7444FE32" w14:textId="13D7FDF4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STEM Club Week</w:t>
            </w:r>
          </w:p>
        </w:tc>
        <w:tc>
          <w:tcPr>
            <w:tcW w:w="6493" w:type="dxa"/>
            <w:shd w:val="clear" w:color="auto" w:fill="E9F6F6"/>
          </w:tcPr>
          <w:p w14:paraId="33886ECC" w14:textId="77777777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  <w:tc>
          <w:tcPr>
            <w:tcW w:w="4828" w:type="dxa"/>
            <w:shd w:val="clear" w:color="auto" w:fill="E9F6F6"/>
          </w:tcPr>
          <w:p w14:paraId="140F5164" w14:textId="5CCAF2BE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603B10">
              <w:rPr>
                <w:rFonts w:ascii="Lato" w:hAnsi="Lato"/>
                <w:color w:val="00A8A8"/>
                <w:sz w:val="20"/>
                <w:szCs w:val="20"/>
              </w:rPr>
              <w:t>https://www.stem.org.uk/news-and-views/news/stem-clubs-week-here</w:t>
            </w:r>
          </w:p>
        </w:tc>
      </w:tr>
      <w:tr w:rsidR="00F040F6" w:rsidRPr="00FD7F5D" w14:paraId="71E18D15" w14:textId="77777777" w:rsidTr="009B2DED">
        <w:tc>
          <w:tcPr>
            <w:tcW w:w="14737" w:type="dxa"/>
            <w:gridSpan w:val="4"/>
            <w:shd w:val="clear" w:color="auto" w:fill="00A8A8"/>
          </w:tcPr>
          <w:p w14:paraId="5B3DEE08" w14:textId="7A8F9BFD" w:rsidR="00F040F6" w:rsidRPr="00FD7F5D" w:rsidRDefault="00F040F6" w:rsidP="00F040F6">
            <w:pPr>
              <w:spacing w:before="120" w:after="120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March</w:t>
            </w:r>
          </w:p>
        </w:tc>
      </w:tr>
      <w:tr w:rsidR="00F040F6" w:rsidRPr="00935E4D" w14:paraId="4E11660C" w14:textId="77777777" w:rsidTr="00E37F3F">
        <w:tc>
          <w:tcPr>
            <w:tcW w:w="1194" w:type="dxa"/>
            <w:shd w:val="clear" w:color="auto" w:fill="E9F6F6"/>
          </w:tcPr>
          <w:p w14:paraId="651E634C" w14:textId="5575FA9D" w:rsidR="00F040F6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1</w:t>
            </w:r>
            <w:r w:rsidRPr="00E37F3F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st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– 5</w:t>
            </w:r>
            <w:r w:rsidRPr="00E37F3F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th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shd w:val="clear" w:color="auto" w:fill="E9F6F6"/>
          </w:tcPr>
          <w:p w14:paraId="59D444C8" w14:textId="2E684E65" w:rsidR="00F040F6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National Careers Week</w:t>
            </w:r>
          </w:p>
        </w:tc>
        <w:tc>
          <w:tcPr>
            <w:tcW w:w="6493" w:type="dxa"/>
            <w:shd w:val="clear" w:color="auto" w:fill="E9F6F6"/>
          </w:tcPr>
          <w:p w14:paraId="3F5F9542" w14:textId="01B2562E" w:rsidR="00F040F6" w:rsidRPr="00E86158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E37F3F">
              <w:rPr>
                <w:rFonts w:ascii="Lato" w:hAnsi="Lato"/>
                <w:color w:val="00A8A8"/>
                <w:sz w:val="20"/>
                <w:szCs w:val="20"/>
              </w:rPr>
              <w:t>A celebration of careers guidance and free resources in education across the UK. The aim is to provide a focus for careers guidance activity at an important stage in the academic calendar to help support young people leaving education.</w:t>
            </w:r>
          </w:p>
        </w:tc>
        <w:tc>
          <w:tcPr>
            <w:tcW w:w="4828" w:type="dxa"/>
            <w:shd w:val="clear" w:color="auto" w:fill="E9F6F6"/>
          </w:tcPr>
          <w:p w14:paraId="50EDCE55" w14:textId="5B3BFE03" w:rsidR="00F040F6" w:rsidRPr="00132360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E37F3F">
              <w:rPr>
                <w:rFonts w:ascii="Lato" w:hAnsi="Lato"/>
                <w:color w:val="00A8A8"/>
                <w:sz w:val="20"/>
                <w:szCs w:val="20"/>
              </w:rPr>
              <w:t>https://nationalcareersweek.com/</w:t>
            </w:r>
          </w:p>
        </w:tc>
      </w:tr>
      <w:tr w:rsidR="00F040F6" w:rsidRPr="00935E4D" w14:paraId="20217B21" w14:textId="77777777" w:rsidTr="00E37F3F">
        <w:tc>
          <w:tcPr>
            <w:tcW w:w="1194" w:type="dxa"/>
            <w:shd w:val="clear" w:color="auto" w:fill="E9F6F6"/>
          </w:tcPr>
          <w:p w14:paraId="75089592" w14:textId="3FAF00A1" w:rsidR="00F040F6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5</w:t>
            </w:r>
            <w:r w:rsidRPr="006551B5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th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– 14</w:t>
            </w:r>
            <w:r w:rsidRPr="006551B5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th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March</w:t>
            </w:r>
          </w:p>
        </w:tc>
        <w:tc>
          <w:tcPr>
            <w:tcW w:w="2222" w:type="dxa"/>
            <w:shd w:val="clear" w:color="auto" w:fill="E9F6F6"/>
          </w:tcPr>
          <w:p w14:paraId="655EEAC9" w14:textId="37B8020C" w:rsidR="00F040F6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British Science Week</w:t>
            </w:r>
          </w:p>
        </w:tc>
        <w:tc>
          <w:tcPr>
            <w:tcW w:w="6493" w:type="dxa"/>
            <w:shd w:val="clear" w:color="auto" w:fill="E9F6F6"/>
          </w:tcPr>
          <w:p w14:paraId="05621ED4" w14:textId="29334CDE" w:rsidR="00F040F6" w:rsidRPr="00603B10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603B10">
              <w:rPr>
                <w:rFonts w:ascii="Lato" w:hAnsi="Lato"/>
                <w:color w:val="00A8A8"/>
                <w:sz w:val="20"/>
                <w:szCs w:val="20"/>
              </w:rPr>
              <w:t>Events, school projects, challenges. Grants, support and resources available</w:t>
            </w:r>
            <w:r>
              <w:rPr>
                <w:rFonts w:ascii="Lato" w:hAnsi="Lato"/>
                <w:color w:val="00A8A8"/>
                <w:sz w:val="20"/>
                <w:szCs w:val="20"/>
              </w:rPr>
              <w:t>.</w:t>
            </w:r>
          </w:p>
        </w:tc>
        <w:tc>
          <w:tcPr>
            <w:tcW w:w="4828" w:type="dxa"/>
            <w:shd w:val="clear" w:color="auto" w:fill="E9F6F6"/>
          </w:tcPr>
          <w:p w14:paraId="20455D85" w14:textId="3018B791" w:rsidR="00F040F6" w:rsidRPr="00603B10" w:rsidRDefault="00F040F6" w:rsidP="00F040F6">
            <w:pPr>
              <w:rPr>
                <w:rFonts w:ascii="Lato" w:hAnsi="Lato"/>
                <w:color w:val="00A8A8"/>
                <w:sz w:val="20"/>
                <w:szCs w:val="20"/>
              </w:rPr>
            </w:pPr>
            <w:r w:rsidRPr="00603B10">
              <w:rPr>
                <w:rFonts w:ascii="Lato" w:hAnsi="Lato"/>
                <w:color w:val="00A8A8"/>
                <w:sz w:val="20"/>
                <w:szCs w:val="20"/>
              </w:rPr>
              <w:t>https://www.britishscienceweek.org/</w:t>
            </w:r>
          </w:p>
        </w:tc>
      </w:tr>
      <w:tr w:rsidR="00F040F6" w:rsidRPr="00935E4D" w14:paraId="1176442B" w14:textId="77777777" w:rsidTr="00E37F3F">
        <w:tc>
          <w:tcPr>
            <w:tcW w:w="1194" w:type="dxa"/>
            <w:shd w:val="clear" w:color="auto" w:fill="E9F6F6"/>
          </w:tcPr>
          <w:p w14:paraId="1F409F49" w14:textId="37F464FA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TBC</w:t>
            </w:r>
          </w:p>
        </w:tc>
        <w:tc>
          <w:tcPr>
            <w:tcW w:w="2222" w:type="dxa"/>
            <w:shd w:val="clear" w:color="auto" w:fill="E9F6F6"/>
          </w:tcPr>
          <w:p w14:paraId="0D2B7E00" w14:textId="4F2C8562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Big Bang Fair</w:t>
            </w:r>
          </w:p>
        </w:tc>
        <w:tc>
          <w:tcPr>
            <w:tcW w:w="6493" w:type="dxa"/>
            <w:shd w:val="clear" w:color="auto" w:fill="E9F6F6"/>
          </w:tcPr>
          <w:p w14:paraId="49A4AA86" w14:textId="77777777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  <w:tc>
          <w:tcPr>
            <w:tcW w:w="4828" w:type="dxa"/>
            <w:shd w:val="clear" w:color="auto" w:fill="E9F6F6"/>
          </w:tcPr>
          <w:p w14:paraId="7C2BAE76" w14:textId="77777777" w:rsidR="00F040F6" w:rsidRPr="00603B10" w:rsidRDefault="00F040F6" w:rsidP="00F040F6">
            <w:pPr>
              <w:rPr>
                <w:rFonts w:ascii="Lato" w:hAnsi="Lato"/>
                <w:color w:val="00A8A8"/>
                <w:sz w:val="20"/>
                <w:szCs w:val="20"/>
              </w:rPr>
            </w:pPr>
            <w:r w:rsidRPr="00603B10">
              <w:rPr>
                <w:rFonts w:ascii="Lato" w:hAnsi="Lato"/>
                <w:color w:val="00A8A8"/>
                <w:sz w:val="20"/>
                <w:szCs w:val="20"/>
              </w:rPr>
              <w:t xml:space="preserve">https://www.thebigbangfair.co.uk/ </w:t>
            </w:r>
          </w:p>
          <w:p w14:paraId="4D2EA4D4" w14:textId="77777777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F040F6" w:rsidRPr="00935E4D" w14:paraId="79EBA508" w14:textId="77777777" w:rsidTr="00E37F3F">
        <w:tc>
          <w:tcPr>
            <w:tcW w:w="1194" w:type="dxa"/>
            <w:shd w:val="clear" w:color="auto" w:fill="E9F6F6"/>
          </w:tcPr>
          <w:p w14:paraId="07948AFF" w14:textId="6ECEAAA7" w:rsidR="00F040F6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TBC</w:t>
            </w:r>
          </w:p>
        </w:tc>
        <w:tc>
          <w:tcPr>
            <w:tcW w:w="2222" w:type="dxa"/>
            <w:shd w:val="clear" w:color="auto" w:fill="E9F6F6"/>
          </w:tcPr>
          <w:p w14:paraId="68A50DE9" w14:textId="72E1BDB1" w:rsidR="00F040F6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Open Doors: Get into Construction</w:t>
            </w:r>
          </w:p>
        </w:tc>
        <w:tc>
          <w:tcPr>
            <w:tcW w:w="6493" w:type="dxa"/>
            <w:shd w:val="clear" w:color="auto" w:fill="E9F6F6"/>
          </w:tcPr>
          <w:p w14:paraId="1F13831B" w14:textId="379D1967" w:rsidR="00F040F6" w:rsidRPr="00603B10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603B10">
              <w:rPr>
                <w:rFonts w:ascii="Lato" w:hAnsi="Lato"/>
                <w:color w:val="00A8A8"/>
                <w:sz w:val="20"/>
                <w:szCs w:val="20"/>
              </w:rPr>
              <w:t xml:space="preserve">A unique chance for you to see behind the scenes at major ‘live’ construction sites across England, Scotland and Wales. </w:t>
            </w:r>
          </w:p>
        </w:tc>
        <w:tc>
          <w:tcPr>
            <w:tcW w:w="4828" w:type="dxa"/>
            <w:shd w:val="clear" w:color="auto" w:fill="E9F6F6"/>
          </w:tcPr>
          <w:p w14:paraId="4A996605" w14:textId="20E46873" w:rsidR="00F040F6" w:rsidRPr="00603B10" w:rsidRDefault="00F040F6" w:rsidP="00F040F6">
            <w:pPr>
              <w:rPr>
                <w:rFonts w:ascii="Lato" w:hAnsi="Lato"/>
                <w:color w:val="00A8A8"/>
                <w:sz w:val="20"/>
                <w:szCs w:val="20"/>
              </w:rPr>
            </w:pPr>
            <w:r w:rsidRPr="00603B10">
              <w:rPr>
                <w:rFonts w:ascii="Lato" w:hAnsi="Lato"/>
                <w:color w:val="00A8A8"/>
                <w:sz w:val="20"/>
                <w:szCs w:val="20"/>
              </w:rPr>
              <w:t>https://opendoors.construction/</w:t>
            </w:r>
          </w:p>
        </w:tc>
      </w:tr>
      <w:tr w:rsidR="00F040F6" w:rsidRPr="00FD7F5D" w14:paraId="6B237E8F" w14:textId="77777777" w:rsidTr="009B2DED">
        <w:tc>
          <w:tcPr>
            <w:tcW w:w="14737" w:type="dxa"/>
            <w:gridSpan w:val="4"/>
            <w:shd w:val="clear" w:color="auto" w:fill="00A8A8"/>
          </w:tcPr>
          <w:p w14:paraId="64033C0C" w14:textId="03C772BA" w:rsidR="00F040F6" w:rsidRPr="00FD7F5D" w:rsidRDefault="00F040F6" w:rsidP="00F040F6">
            <w:pPr>
              <w:spacing w:before="120" w:after="120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April</w:t>
            </w:r>
          </w:p>
        </w:tc>
      </w:tr>
      <w:tr w:rsidR="00F040F6" w:rsidRPr="00935E4D" w14:paraId="05649901" w14:textId="77777777" w:rsidTr="00E37F3F">
        <w:tc>
          <w:tcPr>
            <w:tcW w:w="1194" w:type="dxa"/>
            <w:shd w:val="clear" w:color="auto" w:fill="E9F6F6"/>
          </w:tcPr>
          <w:p w14:paraId="7DB40EEE" w14:textId="6D373E8A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TBC</w:t>
            </w:r>
          </w:p>
        </w:tc>
        <w:tc>
          <w:tcPr>
            <w:tcW w:w="2222" w:type="dxa"/>
            <w:shd w:val="clear" w:color="auto" w:fill="E9F6F6"/>
          </w:tcPr>
          <w:p w14:paraId="7FADAADB" w14:textId="3DDDC838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UK Fin Tech Week</w:t>
            </w:r>
          </w:p>
        </w:tc>
        <w:tc>
          <w:tcPr>
            <w:tcW w:w="6493" w:type="dxa"/>
            <w:shd w:val="clear" w:color="auto" w:fill="E9F6F6"/>
          </w:tcPr>
          <w:p w14:paraId="1349F63F" w14:textId="07DAB820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Online events, showcasing the finance sector.</w:t>
            </w:r>
          </w:p>
        </w:tc>
        <w:tc>
          <w:tcPr>
            <w:tcW w:w="4828" w:type="dxa"/>
            <w:shd w:val="clear" w:color="auto" w:fill="E9F6F6"/>
          </w:tcPr>
          <w:p w14:paraId="177883CA" w14:textId="065A5D10" w:rsidR="00F040F6" w:rsidRPr="00935E4D" w:rsidRDefault="00F040F6" w:rsidP="00F040F6">
            <w:pPr>
              <w:rPr>
                <w:rFonts w:ascii="Lato" w:hAnsi="Lato"/>
                <w:color w:val="00A8A8"/>
                <w:sz w:val="20"/>
                <w:szCs w:val="20"/>
              </w:rPr>
            </w:pPr>
            <w:r w:rsidRPr="00603B10">
              <w:rPr>
                <w:rFonts w:ascii="Lato" w:hAnsi="Lato"/>
                <w:color w:val="00A8A8"/>
                <w:sz w:val="20"/>
                <w:szCs w:val="20"/>
              </w:rPr>
              <w:t xml:space="preserve">https://www.innovatefinance.com/ukfintechweek/ </w:t>
            </w:r>
          </w:p>
        </w:tc>
      </w:tr>
      <w:tr w:rsidR="00F040F6" w:rsidRPr="00935E4D" w14:paraId="261D56D2" w14:textId="77777777" w:rsidTr="00E37F3F">
        <w:tc>
          <w:tcPr>
            <w:tcW w:w="1194" w:type="dxa"/>
            <w:shd w:val="clear" w:color="auto" w:fill="E9F6F6"/>
          </w:tcPr>
          <w:p w14:paraId="1E185390" w14:textId="3EC05F81" w:rsidR="00F040F6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TBC</w:t>
            </w:r>
          </w:p>
        </w:tc>
        <w:tc>
          <w:tcPr>
            <w:tcW w:w="2222" w:type="dxa"/>
            <w:shd w:val="clear" w:color="auto" w:fill="E9F6F6"/>
          </w:tcPr>
          <w:p w14:paraId="264A80FF" w14:textId="45BE7E41" w:rsidR="00F040F6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English Tourism Week</w:t>
            </w:r>
          </w:p>
        </w:tc>
        <w:tc>
          <w:tcPr>
            <w:tcW w:w="6493" w:type="dxa"/>
            <w:shd w:val="clear" w:color="auto" w:fill="E9F6F6"/>
          </w:tcPr>
          <w:p w14:paraId="13438DA2" w14:textId="7EEADA2E" w:rsidR="00F040F6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A24D88">
              <w:rPr>
                <w:rFonts w:ascii="Lato" w:hAnsi="Lato"/>
                <w:color w:val="00A8A8"/>
                <w:sz w:val="20"/>
                <w:szCs w:val="20"/>
              </w:rPr>
              <w:t>Opportunity to promote jobs within the tourism sector and invite in local tourism employers/employees</w:t>
            </w:r>
            <w:r>
              <w:rPr>
                <w:rFonts w:ascii="Lato" w:hAnsi="Lato"/>
                <w:color w:val="00A8A8"/>
                <w:sz w:val="20"/>
                <w:szCs w:val="20"/>
              </w:rPr>
              <w:t>.</w:t>
            </w:r>
          </w:p>
        </w:tc>
        <w:tc>
          <w:tcPr>
            <w:tcW w:w="4828" w:type="dxa"/>
            <w:shd w:val="clear" w:color="auto" w:fill="E9F6F6"/>
          </w:tcPr>
          <w:p w14:paraId="219D2EE9" w14:textId="483A5593" w:rsidR="00F040F6" w:rsidRPr="00603B10" w:rsidRDefault="00F040F6" w:rsidP="00F040F6">
            <w:pPr>
              <w:rPr>
                <w:rFonts w:ascii="Lato" w:hAnsi="Lato"/>
                <w:color w:val="00A8A8"/>
                <w:sz w:val="20"/>
                <w:szCs w:val="20"/>
              </w:rPr>
            </w:pPr>
            <w:r w:rsidRPr="00A24D88">
              <w:rPr>
                <w:rFonts w:ascii="Lato" w:hAnsi="Lato"/>
                <w:color w:val="00A8A8"/>
                <w:sz w:val="20"/>
                <w:szCs w:val="20"/>
              </w:rPr>
              <w:t>https://www.visitbritain.org/english-tourism-week</w:t>
            </w:r>
          </w:p>
        </w:tc>
      </w:tr>
    </w:tbl>
    <w:p w14:paraId="65D8A684" w14:textId="77777777" w:rsidR="00B74CB2" w:rsidRDefault="00B74CB2" w:rsidP="00F040F6">
      <w:pPr>
        <w:spacing w:before="120" w:after="120"/>
        <w:rPr>
          <w:rFonts w:ascii="Lato" w:hAnsi="Lato"/>
          <w:b/>
          <w:bCs/>
          <w:color w:val="FFFFFF" w:themeColor="background1"/>
          <w:sz w:val="28"/>
          <w:szCs w:val="28"/>
        </w:rPr>
        <w:sectPr w:rsidR="00B74CB2" w:rsidSect="00E027F1">
          <w:pgSz w:w="16840" w:h="1190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737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194"/>
        <w:gridCol w:w="2222"/>
        <w:gridCol w:w="6493"/>
        <w:gridCol w:w="4828"/>
      </w:tblGrid>
      <w:tr w:rsidR="00F040F6" w:rsidRPr="00FD7F5D" w14:paraId="7EB16344" w14:textId="77777777" w:rsidTr="009B2DED">
        <w:tc>
          <w:tcPr>
            <w:tcW w:w="14737" w:type="dxa"/>
            <w:gridSpan w:val="4"/>
            <w:shd w:val="clear" w:color="auto" w:fill="00A8A8"/>
          </w:tcPr>
          <w:p w14:paraId="7F4E6CD0" w14:textId="00AF72ED" w:rsidR="00F040F6" w:rsidRPr="00FD7F5D" w:rsidRDefault="00F040F6" w:rsidP="00F040F6">
            <w:pPr>
              <w:spacing w:before="120" w:after="120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lastRenderedPageBreak/>
              <w:t>May</w:t>
            </w:r>
          </w:p>
        </w:tc>
      </w:tr>
      <w:tr w:rsidR="00F040F6" w:rsidRPr="00935E4D" w14:paraId="41BFCB99" w14:textId="77777777" w:rsidTr="00E37F3F">
        <w:tc>
          <w:tcPr>
            <w:tcW w:w="1194" w:type="dxa"/>
            <w:shd w:val="clear" w:color="auto" w:fill="E9F6F6"/>
          </w:tcPr>
          <w:p w14:paraId="763A23B5" w14:textId="682140FE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E9F6F6"/>
          </w:tcPr>
          <w:p w14:paraId="2F78C846" w14:textId="0574AD19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  <w:tc>
          <w:tcPr>
            <w:tcW w:w="6493" w:type="dxa"/>
            <w:shd w:val="clear" w:color="auto" w:fill="E9F6F6"/>
          </w:tcPr>
          <w:p w14:paraId="0E4D018B" w14:textId="509F2C56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  <w:tc>
          <w:tcPr>
            <w:tcW w:w="4828" w:type="dxa"/>
            <w:shd w:val="clear" w:color="auto" w:fill="E9F6F6"/>
          </w:tcPr>
          <w:p w14:paraId="3B40D889" w14:textId="7D30B510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F040F6" w:rsidRPr="00FD7F5D" w14:paraId="51AF74E7" w14:textId="77777777" w:rsidTr="009B2DED">
        <w:tc>
          <w:tcPr>
            <w:tcW w:w="14737" w:type="dxa"/>
            <w:gridSpan w:val="4"/>
            <w:shd w:val="clear" w:color="auto" w:fill="00A8A8"/>
          </w:tcPr>
          <w:p w14:paraId="72B981A4" w14:textId="2C38AE53" w:rsidR="00F040F6" w:rsidRPr="00FD7F5D" w:rsidRDefault="00F040F6" w:rsidP="00F040F6">
            <w:pPr>
              <w:spacing w:before="120" w:after="120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June</w:t>
            </w:r>
          </w:p>
        </w:tc>
      </w:tr>
      <w:tr w:rsidR="00F040F6" w:rsidRPr="00935E4D" w14:paraId="2BC15A16" w14:textId="77777777" w:rsidTr="00E37F3F">
        <w:tc>
          <w:tcPr>
            <w:tcW w:w="1194" w:type="dxa"/>
            <w:shd w:val="clear" w:color="auto" w:fill="E9F6F6"/>
          </w:tcPr>
          <w:p w14:paraId="5324935D" w14:textId="0F47FA75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1</w:t>
            </w:r>
            <w:r w:rsidRPr="00A24D88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st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– 7</w:t>
            </w:r>
            <w:r w:rsidRPr="00A24D88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th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shd w:val="clear" w:color="auto" w:fill="E9F6F6"/>
          </w:tcPr>
          <w:p w14:paraId="3D3641A2" w14:textId="60097D07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Volunteers Week</w:t>
            </w:r>
          </w:p>
        </w:tc>
        <w:tc>
          <w:tcPr>
            <w:tcW w:w="6493" w:type="dxa"/>
            <w:shd w:val="clear" w:color="auto" w:fill="E9F6F6"/>
          </w:tcPr>
          <w:p w14:paraId="1716BFAF" w14:textId="5A4C206D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E37F3F">
              <w:rPr>
                <w:rFonts w:ascii="Lato" w:hAnsi="Lato"/>
                <w:color w:val="00A8A8"/>
                <w:sz w:val="20"/>
                <w:szCs w:val="20"/>
              </w:rPr>
              <w:t>Volunteers’ Week is an annual celebration of the contribution millions of people make across the UK through volunteering.</w:t>
            </w:r>
          </w:p>
        </w:tc>
        <w:tc>
          <w:tcPr>
            <w:tcW w:w="4828" w:type="dxa"/>
            <w:shd w:val="clear" w:color="auto" w:fill="E9F6F6"/>
          </w:tcPr>
          <w:p w14:paraId="5EC44CC0" w14:textId="5F706AD3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E37F3F">
              <w:rPr>
                <w:rFonts w:ascii="Lato" w:hAnsi="Lato"/>
                <w:color w:val="00A8A8"/>
                <w:sz w:val="20"/>
                <w:szCs w:val="20"/>
              </w:rPr>
              <w:t>https://volunteersweek.org/</w:t>
            </w:r>
          </w:p>
        </w:tc>
      </w:tr>
      <w:tr w:rsidR="00F040F6" w:rsidRPr="00935E4D" w14:paraId="698D08DA" w14:textId="77777777" w:rsidTr="00E37F3F">
        <w:tc>
          <w:tcPr>
            <w:tcW w:w="1194" w:type="dxa"/>
            <w:shd w:val="clear" w:color="auto" w:fill="E9F6F6"/>
          </w:tcPr>
          <w:p w14:paraId="33A9CCE5" w14:textId="79F3FD1B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23</w:t>
            </w:r>
            <w:r w:rsidRPr="00A24D88">
              <w:rPr>
                <w:rFonts w:ascii="Lato" w:hAnsi="Lato"/>
                <w:color w:val="00A8A8"/>
                <w:sz w:val="20"/>
                <w:szCs w:val="20"/>
                <w:vertAlign w:val="superscript"/>
              </w:rPr>
              <w:t>rd</w:t>
            </w:r>
            <w:r>
              <w:rPr>
                <w:rFonts w:ascii="Lato" w:hAnsi="Lato"/>
                <w:color w:val="00A8A8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shd w:val="clear" w:color="auto" w:fill="E9F6F6"/>
          </w:tcPr>
          <w:p w14:paraId="14262AEF" w14:textId="129BF969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International Women in Engineering Day</w:t>
            </w:r>
          </w:p>
        </w:tc>
        <w:tc>
          <w:tcPr>
            <w:tcW w:w="6493" w:type="dxa"/>
            <w:shd w:val="clear" w:color="auto" w:fill="E9F6F6"/>
          </w:tcPr>
          <w:p w14:paraId="08261D29" w14:textId="36D03342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E37F3F">
              <w:rPr>
                <w:rFonts w:ascii="Lato" w:hAnsi="Lato"/>
                <w:color w:val="00A8A8"/>
                <w:sz w:val="20"/>
                <w:szCs w:val="20"/>
              </w:rPr>
              <w:t>International awareness campaign to raise the profile of women in engineering and focus attention on the amazing career opportunities available to girls in this industry</w:t>
            </w:r>
            <w:r>
              <w:rPr>
                <w:rFonts w:ascii="Lato" w:hAnsi="Lato"/>
                <w:color w:val="00A8A8"/>
                <w:sz w:val="20"/>
                <w:szCs w:val="20"/>
              </w:rPr>
              <w:t>.</w:t>
            </w:r>
          </w:p>
        </w:tc>
        <w:tc>
          <w:tcPr>
            <w:tcW w:w="4828" w:type="dxa"/>
            <w:shd w:val="clear" w:color="auto" w:fill="E9F6F6"/>
          </w:tcPr>
          <w:p w14:paraId="393962B8" w14:textId="7C2F0E76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E37F3F">
              <w:rPr>
                <w:rFonts w:ascii="Lato" w:hAnsi="Lato"/>
                <w:color w:val="00A8A8"/>
                <w:sz w:val="20"/>
                <w:szCs w:val="20"/>
              </w:rPr>
              <w:t>http://www.inwed.org.uk/</w:t>
            </w:r>
          </w:p>
        </w:tc>
      </w:tr>
      <w:tr w:rsidR="00F040F6" w:rsidRPr="00FD7F5D" w14:paraId="0D3FF79B" w14:textId="77777777" w:rsidTr="009B2DED">
        <w:tc>
          <w:tcPr>
            <w:tcW w:w="14737" w:type="dxa"/>
            <w:gridSpan w:val="4"/>
            <w:shd w:val="clear" w:color="auto" w:fill="00A8A8"/>
          </w:tcPr>
          <w:p w14:paraId="68D6A334" w14:textId="1C3487AF" w:rsidR="00F040F6" w:rsidRPr="00FD7F5D" w:rsidRDefault="00F040F6" w:rsidP="00F040F6">
            <w:pPr>
              <w:spacing w:before="120" w:after="120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July</w:t>
            </w:r>
          </w:p>
        </w:tc>
      </w:tr>
      <w:tr w:rsidR="00F040F6" w:rsidRPr="00935E4D" w14:paraId="5FE5A6F7" w14:textId="77777777" w:rsidTr="00E37F3F">
        <w:tc>
          <w:tcPr>
            <w:tcW w:w="1194" w:type="dxa"/>
            <w:shd w:val="clear" w:color="auto" w:fill="E9F6F6"/>
          </w:tcPr>
          <w:p w14:paraId="6A0AB67E" w14:textId="77777777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E9F6F6"/>
          </w:tcPr>
          <w:p w14:paraId="38080107" w14:textId="77777777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  <w:tc>
          <w:tcPr>
            <w:tcW w:w="6493" w:type="dxa"/>
            <w:shd w:val="clear" w:color="auto" w:fill="E9F6F6"/>
          </w:tcPr>
          <w:p w14:paraId="2177E4A2" w14:textId="77777777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  <w:tc>
          <w:tcPr>
            <w:tcW w:w="4828" w:type="dxa"/>
            <w:shd w:val="clear" w:color="auto" w:fill="E9F6F6"/>
          </w:tcPr>
          <w:p w14:paraId="0F8AEE53" w14:textId="77777777" w:rsidR="00F040F6" w:rsidRPr="00935E4D" w:rsidRDefault="00F040F6" w:rsidP="00F040F6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</w:tbl>
    <w:p w14:paraId="15F4EE52" w14:textId="358B6A51" w:rsidR="00935E4D" w:rsidRPr="00935E4D" w:rsidRDefault="00935E4D" w:rsidP="00935E4D">
      <w:pPr>
        <w:spacing w:before="120" w:after="120"/>
        <w:rPr>
          <w:rFonts w:ascii="Lato" w:hAnsi="Lato"/>
          <w:b/>
          <w:bCs/>
          <w:color w:val="00A8A8"/>
          <w:sz w:val="20"/>
          <w:szCs w:val="20"/>
        </w:rPr>
      </w:pPr>
    </w:p>
    <w:sectPr w:rsidR="00935E4D" w:rsidRPr="00935E4D" w:rsidSect="00E027F1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A3A19" w14:textId="77777777" w:rsidR="00D20912" w:rsidRDefault="00D20912" w:rsidP="00667A68">
      <w:r>
        <w:separator/>
      </w:r>
    </w:p>
  </w:endnote>
  <w:endnote w:type="continuationSeparator" w:id="0">
    <w:p w14:paraId="329DFCBB" w14:textId="77777777" w:rsidR="00D20912" w:rsidRDefault="00D20912" w:rsidP="0066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35BBD" w14:textId="77777777" w:rsidR="00D20912" w:rsidRDefault="00D20912" w:rsidP="00667A68">
      <w:r>
        <w:separator/>
      </w:r>
    </w:p>
  </w:footnote>
  <w:footnote w:type="continuationSeparator" w:id="0">
    <w:p w14:paraId="4899F4CE" w14:textId="77777777" w:rsidR="00D20912" w:rsidRDefault="00D20912" w:rsidP="0066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AE33F" w14:textId="516CFBDE" w:rsidR="00B74CB2" w:rsidRDefault="00B74CB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181A4FC" wp14:editId="2286F1B7">
          <wp:simplePos x="0" y="0"/>
          <wp:positionH relativeFrom="column">
            <wp:posOffset>7639050</wp:posOffset>
          </wp:positionH>
          <wp:positionV relativeFrom="paragraph">
            <wp:posOffset>-285750</wp:posOffset>
          </wp:positionV>
          <wp:extent cx="1653540" cy="838200"/>
          <wp:effectExtent l="0" t="0" r="3810" b="0"/>
          <wp:wrapTight wrapText="bothSides">
            <wp:wrapPolygon edited="0">
              <wp:start x="0" y="0"/>
              <wp:lineTo x="0" y="21109"/>
              <wp:lineTo x="21401" y="21109"/>
              <wp:lineTo x="2140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fe read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DA80AE" w14:textId="77777777" w:rsidR="00B74CB2" w:rsidRDefault="00B74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7E8B"/>
    <w:multiLevelType w:val="hybridMultilevel"/>
    <w:tmpl w:val="F498F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4D"/>
    <w:rsid w:val="000026BC"/>
    <w:rsid w:val="00017CC7"/>
    <w:rsid w:val="000B3F6E"/>
    <w:rsid w:val="00132360"/>
    <w:rsid w:val="001B5D5A"/>
    <w:rsid w:val="001C5D4E"/>
    <w:rsid w:val="001D4BAE"/>
    <w:rsid w:val="001D6CF4"/>
    <w:rsid w:val="002553D7"/>
    <w:rsid w:val="002651C3"/>
    <w:rsid w:val="002D04B1"/>
    <w:rsid w:val="00325B2E"/>
    <w:rsid w:val="00350F04"/>
    <w:rsid w:val="003864C2"/>
    <w:rsid w:val="003C5975"/>
    <w:rsid w:val="004C0BF3"/>
    <w:rsid w:val="005C7173"/>
    <w:rsid w:val="00603B10"/>
    <w:rsid w:val="00611BBD"/>
    <w:rsid w:val="00621119"/>
    <w:rsid w:val="006549D4"/>
    <w:rsid w:val="006551B5"/>
    <w:rsid w:val="00667A68"/>
    <w:rsid w:val="006F3613"/>
    <w:rsid w:val="0074515B"/>
    <w:rsid w:val="007635B1"/>
    <w:rsid w:val="007635EA"/>
    <w:rsid w:val="007653E9"/>
    <w:rsid w:val="007D2FF1"/>
    <w:rsid w:val="007F1CAF"/>
    <w:rsid w:val="008C6B84"/>
    <w:rsid w:val="008F4811"/>
    <w:rsid w:val="0092302F"/>
    <w:rsid w:val="00935E4D"/>
    <w:rsid w:val="00A24D88"/>
    <w:rsid w:val="00A45C2B"/>
    <w:rsid w:val="00A815CA"/>
    <w:rsid w:val="00B310B9"/>
    <w:rsid w:val="00B74CB2"/>
    <w:rsid w:val="00C1698C"/>
    <w:rsid w:val="00C223D7"/>
    <w:rsid w:val="00CF1CE7"/>
    <w:rsid w:val="00CF629E"/>
    <w:rsid w:val="00D20912"/>
    <w:rsid w:val="00D51624"/>
    <w:rsid w:val="00D80099"/>
    <w:rsid w:val="00DA16FC"/>
    <w:rsid w:val="00DD4CAD"/>
    <w:rsid w:val="00E027F1"/>
    <w:rsid w:val="00E37F3F"/>
    <w:rsid w:val="00E5067C"/>
    <w:rsid w:val="00E8071F"/>
    <w:rsid w:val="00E86158"/>
    <w:rsid w:val="00EA0E14"/>
    <w:rsid w:val="00EC7ADE"/>
    <w:rsid w:val="00F040F6"/>
    <w:rsid w:val="00F82B28"/>
    <w:rsid w:val="00FA7098"/>
    <w:rsid w:val="00FD7F5D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6A0D"/>
  <w14:defaultImageDpi w14:val="32767"/>
  <w15:chartTrackingRefBased/>
  <w15:docId w15:val="{CA16D4BE-3FF5-E040-8A3B-3BD24F8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0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E4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C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CE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7635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7A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A6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7A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A6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Hopper</dc:creator>
  <cp:keywords/>
  <dc:description/>
  <cp:lastModifiedBy>Colson, Hannah (Public Health)</cp:lastModifiedBy>
  <cp:revision>5</cp:revision>
  <dcterms:created xsi:type="dcterms:W3CDTF">2020-07-15T12:43:00Z</dcterms:created>
  <dcterms:modified xsi:type="dcterms:W3CDTF">2020-11-13T13:50:00Z</dcterms:modified>
</cp:coreProperties>
</file>